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JORDAN BRAND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JORDAN BRAND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JORDAN BRAND</w:t>
      </w:r>
    </w:p>
    <w:p>
      <w:pPr>
        <w:spacing w:after="120"/>
      </w:pPr>
      <w:r>
        <w:rPr>
          <w:sz w:val="21"/>
        </w:rPr>
        <w:t>A tailored naming-rights recommendation for JORDAN BRAND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Anchor the Phase 2 Indoor Complex or The Lab — Jordan Brand resonates with elite youth-athlete culture, basketball, and indoor training.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Jumpman branding on the marquee indoor complex and hardwood courts; flagship court/turf identity for volleyball &amp; basketball; signature athlete appearance opportunities. (Division of Nike — same submission path.)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Jordan Brand — Sports Marketing (a division of Nike)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Jordan Brand c/o Nike, Inc.</w:t>
            </w:r>
            <w:r>
              <w:br/>
            </w:r>
            <w:r>
              <w:rPr>
                <w:sz w:val="18"/>
              </w:rPr>
              <w:t>One Bowerman Drive, Beaverton, OR 97005</w:t>
            </w:r>
            <w:r>
              <w:br/>
            </w:r>
            <w:r>
              <w:rPr>
                <w:sz w:val="18"/>
              </w:rPr>
              <w:t>Phone: 1-800-806-6453 • Via Nike Sports Marketing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Jordan Brand Sports Marketing — Court/Training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JORDAN BRAND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Jordan Brand's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